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59</w:t>
      </w:r>
    </w:p>
    <w:p>
      <w:r>
        <w:t>Bundesgericht (BGE), 1999-12-07, FR</w:t>
      </w:r>
    </w:p>
    <w:p>
      <w:r>
        <w:rPr>
          <w:b/>
        </w:rPr>
        <w:t xml:space="preserve">Quelle: </w:t>
      </w:r>
      <w:r>
        <w:t>https://mcp.opencaselaw.ch/entscheid/bge_126 III 59</w:t>
      </w:r>
    </w:p>
    <w:p>
      <w:r>
        <w:t>FR: ATF 126 III 59</w:t>
      </w:r>
    </w:p>
    <w:p>
      <w:r>
        <w:t>IT: DTF 126 III 59</w:t>
      </w:r>
    </w:p>
    <w:p>
      <w:pPr>
        <w:pStyle w:val="Heading2"/>
      </w:pPr>
      <w:r>
        <w:t>Regeste</w:t>
      </w:r>
    </w:p>
    <w:p>
      <w:r>
        <w:t>Regeste Kaufvertrag; Beschränkung der Sachgewährleistung des Verkäufers (Art. 197 und 199 OR). Unterscheidung zwischen direkter und indirekter Stellvertretung (E. 1). Die Wegbedingung der Gewährleistung verbietet es dem Käufer, als notwendige Grundlage des Vertrages das Vorhandensein von Sacheigenschaften anzusehen, für die keine Haftung übernommen wurde (Bestätigung der Rechtsprechung; E. 2 und 3). Gültigkeit einer Freizeichnungsklausel unter dem Gesichtspunkt von Art. 199 OR (E. 4). Auslegung einer die Gewährleistung des Verkäufers einschränkenden Klausel nach dem Vertrauensprinzip (E. 5).</w:t>
      </w:r>
    </w:p>
    <w:p>
      <w:pPr>
        <w:pStyle w:val="Heading2"/>
      </w:pPr>
      <w:r>
        <w:t>Erwägungen</w:t>
      </w:r>
    </w:p>
    <w:p>
      <w:r>
        <w:rPr>
          <w:b/>
        </w:rPr>
        <w:t>E. 1</w:t>
      </w:r>
    </w:p>
    <w:p>
      <w:r>
        <w:t>a) La qualité pour agir et la qualité pour défendre appartiennent aux conditions matérielles de la prétention litigieuse. Elles se déterminent selon le droit au fond et leur défaut conduit au rejet de l'action, qui intervient indépendamment de la réalisation des éléments objectifs de la prétention litigieuse. Ainsi, la reconnaissance de la qualité pour défendre signifie que le demandeur peut faire valoir sa prétention contre le défendeur ( ATF 125 III 82 consid. 1a et l'arrêt cité). Cette question doit en particulier être examinée d'office et librement ( ATF 114 II 345 consid. 3d; ATF 108 II 216 consid. 1 et les références). La cour cantonale, en retenant que les parties sont liées par un contrat de vente au sens des art. 184 ss CO , a implicitement admis BGE 126 III 59 S. 64 que la galerie Z., dans le cadre de la vente du vase de Gallé, avait agi comme simple intermédiaire au sens de l' art. 32 al. 1 CO , autrement dit en qualité de représentante directe de la défenderesse, et non comme partie contractante. C'est ce qu'il convient maintenant d'examiner plus en détail. b) L' art. 32 al. 1 CO dispose que les droits et les obligations dérivant d'un contrat fait au nom d'une autre personne par un représentant autorisé passent au représenté. Il s'ensuit que le représentant n'est pas lié par l'acte accompli. Les effets de la représentation ne naissent que si le représentant dispose du pouvoir de représentation, c'est-à-dire s'il est habilité à faire naître des droits et des obligations directement en faveur et à la charge du représenté, et si le représentant a la volonté d'agir comme tel (arrêt du 26 mars 1996 dans la cause 4C.296/1995, consid. 5c publié in: SJ 1996 p. 556/557 et les références citées). La représentation directe suppose que le représentant agisse expressément ou tacitement au nom du représenté (cf. art. 32 al. 2 CO ). Lorsque le représentant agit en son propre nom, mais pour le compte d'une autre personne, la représentation est dite indirecte ( ATF 100 II 200 consid. III/8a p. 211); le contrat ne lie alors que les parties et ne déploie aucun effet direct sur le représenté, lequel ne peut acquérir de droits ou d'obligations qu'en vertu d'une cession de créance ou d'une reprise de dette postérieure à la conclusion du contrat (cf. art. 32 al. 3 CO ; ATF 100 II 200 consid. III/8a). Si le représentant, comme c'est le cas en l'espèce, a révélé à son cocontractant qu'il n'agissait pas pour son propre compte, la distinction entre la représentation directe et indirecte peut s'avérer délicate. Il y aura représentation directe si le représentant a manifesté son intention d'intervenir pour ou au nom d'un tiers, alors que si le représentant a seulement exprimé sa volonté d'intervenir pour le compte d'un tiers, mais en son propre nom, la représentation sera indirecte, à moins qu'il soit indifférent au tiers de traiter avec le représentant ou le représenté. Comme, l'expression "pour le compte d'un tiers" n'est pas forcément claire dans la pratique, elle doit être interprétée en application du principe de la confiance (arrêt du 12 novembre 1997 dans la cause 4C.206/1997 consid. 2b publié in: SJ 1998 p. 224/225 et les références). c) Selon l'état de fait déterminant, le contrat de vente du 4 décembre 1990, signé par la demanderesse et un responsable de la galerie Z., stipule en préambule que celle-ci agit d'ordre et pour le compte d'une cliente connue de la galerie. La galerie d'arts en question BGE 126 III 59 S. 65 ne s'est toutefois pas immiscée dans la transaction en négociant en son nom le contrat de vente précité. Elle s'est bornée à encaisser, au nom de la défenderesse, le prix de vente de 400'000 fr. auquel cette dernière avait souhaité parvenir et à livrer le vase à la demanderesse le jour même du paiement du second acompte, soit le 31 janvier 1991. La galerie Z. a donc prêté son concours à l'intimée pour passer la vente en cause, cela sans disposer d'aucune autonomie. Partant, il apparaît que la galerie d'arts n'a agi qu'en tant que représentante directe de la personne propriétaire du vase, laquelle doit assumer toutes les obligations du vendeur. La demanderesse pouvait donc valablement s'en prendre à la défenderesse, qui a la légitimation passive.</w:t>
      </w:r>
    </w:p>
    <w:p>
      <w:r>
        <w:rPr>
          <w:b/>
        </w:rPr>
        <w:t>E. 2</w:t>
      </w:r>
    </w:p>
    <w:p>
      <w:r>
        <w:t>a)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119 II 353 consid. 5c/aa; ATF 117 II 256 consid. 2a). Il ne peut être présenté de griefs contre les constatations de fait, ni de faits ou de moyens de preuve nouveaux ( art. 55 al. 1 let . c OJ). Le Tribunal fédéral ne peut aller au-delà des conclusions des parties, mais il n'est pas lié par les motifs qu'elles invoquent ( art. 63 al. 1 OJ ), ni par ceux de la décision cantonale ( art. 63 al. 3 OJ ; ATF 123 III 246 consid. 2; ATF 122 III 150 consid. 3). b) Invoquant une violation des art. 18, 197 et 199 CO , la recourante reproche à la cour cantonale d'avoir apprécié de manière erronée les clauses du contrat de vente; singulièrement, les magistrats vaudois se seraient mépris sur la portée de la clause "concernant une garantie dite antérieure", qu'ils n'auraient pas mise en relation avec la déclaration de la défenderesse du 29 novembre 1990, selon laquelle le vase était authentique et en parfait état. La recourante allègue qu'elle a été victime d'une erreur sur la base nécessaire du contrat, ce qui justifierait l'annulation de la vente en vertu de l' art. 24 al. 1 ch. 4 CO . En outre, le vase qui lui a été livré constituerait un aliud, en sorte qu'elle serait également en droit de se prévaloir de l'erreur sur la chose au sens de l' art. 24 al. 1 ch. 2 CO . La demanderesse fait encore grief à la Cour civile d'avoir été beaucoup trop exigeante à son endroit en ce qui concerne l'attention requise de l'acheteur au sens de l' art. 200 CO , puisque l'expertise a établi que l'altération de BGE 126 III 59 S. 66 la forme du vase était très difficile à déceler. Enfin, à suivre la demanderesse, le contexte de l'affaire montrerait clairement qu'elle ne se prévaut pas de son erreur contrairement aux règles de la bonne foi, ce qui exclurait toute application de l' art. 25 CO .</w:t>
      </w:r>
    </w:p>
    <w:p>
      <w:r>
        <w:rPr>
          <w:b/>
        </w:rPr>
        <w:t>E. 3</w:t>
      </w:r>
    </w:p>
    <w:p>
      <w:r>
        <w:t>L'issue du litige dépend de la portée qu'il convient d'attribuer à la clause d'exclusion de garantie adoptée par les parties dans le contrat de vente du 4 décembre 1990, laquelle stipule que "toute garantie antérieure est exclue". En effet, l'exclusion conventionnelle de certaines qualités déterminées de la chose vendue, à supposer qu'elle soit admissible à la lumière de l' art. 199 CO , fait obstacle aux droits que l'acheteur peut déduire du régime légal de la garantie pour les défauts ( art. 197 ss CO ). En outre, selon une jurisprudence déjà ancienne ( ATF 91 II 275 consid. 2b) approuvée par la doctrine (cf. HANS GIGER, Commentaire bernois, n. 25 ad art. 199 CO ; HEINRICH HONSELL, Commentaire bâlois, n. 5 ad art. 199 CO ), l'acheteur qui accepte de conclure la vente malgré la présence d'une clause de ce type assume le risque que soient absentes les qualités de la chose pour lesquelles il n'a pas obtenu de garantie, de sorte que la loyauté commerciale ne lui permet plus de considérer la présence de telles qualités comme un élément nécessaire du contrat et d'invoquer sur ce point l'erreur de base instaurée par l' art. 24 al. 1 ch. 4 CO . Il n'y a pas lieu de revenir sur cette jurisprudence, sous peine de retirer tout effet pratique aux clauses d'exclusion de garantie, auxquelles l'acheteur pourrait toujours échapper (cf. HANS GIGER, op. cit., n. 24 ad art. 199 CO ). Autrement dit, selon ce que recouvre l'exclusion de garantie susmentionnée, la demanderesse ne pourra ni faire valoir les droits spécifiques que les art. 205 à 209 CO reconnaissent à l'acheteur ni invalider la vente pour erreur qualifiée sur les motifs. Quant à l'erreur sur la chose (error in corpore; art. 24 al. 1 ch. 2 CO ), quoi qu'en pense la recourante, elle n'entre pas en ligne de compte in casu, dès lors que le vase qu'elle a acheté était réellement, comme il était spécifié dans le contrat, une oeuvre authentique de Gallé appartenant à la série dite "vase de tristesse". Or, seule la méprise portant sur l'identité de la chose constitue ce cas d'erreur (par. ex. livraison d'un aliud à l'acheteur), mais nullement celle afférente à certaines qualités ou propriétés d'une chose individualisée ( ATF 57 II 284 consid. 2 p. 288; BRUNO SCHMIDLIN, Commentaire bernois, n. 410 à 412 ad art. 23/24 CO; INGEBORG SCHWENZER, Commentaire bâlois, n. 12 ad art. 24 CO ). BGE 126 III 59 S. 67</w:t>
      </w:r>
    </w:p>
    <w:p>
      <w:r>
        <w:rPr>
          <w:b/>
        </w:rPr>
        <w:t>E. 4</w:t>
      </w:r>
    </w:p>
    <w:p>
      <w:r>
        <w:t>a) A propos de la validité des clauses exclusives ou limitatives de la responsabilité, l' art. 199 CO prévoit que toute clause qui supprime ou restreint la garantie est nulle si le vendeur a frauduleusement dissimulé à l'acheteur les défauts de la chose. La controverse sur le point de savoir si de telles clauses doivent également respecter la règle générale de l' art. 100 al. 1 CO n'a pas à être tranchée en l'espèce (cf. HANS GIGER, op. cit., n. 6 ad art. 199 CO ). De plus, ces clauses ne sauraient être invoquées à l'encontre d'un défaut de la chose vendue totalement étranger aux éventualités qu'un acheteur raisonnable doit prendre en compte ( ATF 107 II 161 consid. 6d; ATF 72 II 267 consid. 3 p. 269). b) En l'occurrence, il a été constaté définitivement ( art. 63 al. 2 OJ ) que la défenderesse n'a pas eu connaissance de l'altération subie par le vase avant qu'elle en devienne propriétaire. Profane en matière d'art en général, elle n'avait en outre aucune raison de douter des qualités de l'objet que lui avait donné sa soeur. Partant, l'intimée n'a pas sciemment celé des vices rédhibitoires. Elle n'a pas non plus délibérément attribué à la chose vendue des qualités inexistantes, puisque le vase acquis par la demanderesse, décrit dans le contrat comme "vase de tristesse", est bel et bien une oeuvre du verrier Gallé. La clause d'exclusion convenue par les parties est donc valable au regard de l' art. 199 CO . c) On ne saurait en outre considérer que les altérations de forme qui résultent des travaux réalisés sur le vase de Gallé afin de faire disparaître une fissure ne pouvaient être raisonnablement attendues par l'acheteuse. De fait, il s'agissait d'un vase conçu en 1903, dont on ignorait combien de personnes, avant la soeur de la défenderesse, en avaient eu la maîtrise effective ainsi que les conditions dans lesquelles l'objet avait été entreposé. Dans ces circonstances, la clause restreignant la garantie figurant dans le contrat de vente ne saurait être déclarée non-valable en raison de la nature du défaut.</w:t>
      </w:r>
    </w:p>
    <w:p>
      <w:r>
        <w:rPr>
          <w:b/>
        </w:rPr>
        <w:t>E. 5</w:t>
      </w:r>
    </w:p>
    <w:p>
      <w:r>
        <w:t>a) La détermination de la portée d'une clause excluant ou limitant la responsabilité du vendeur ressortit à l'interprétation du contrat ( ATF 109 II 24 consid. 4). Dans la mesure où la volonté réelle et commune des parties n'a pas pu être constatée, la clause en question doit être interprétée selon la théorie de la confiance (HANS GIGER, op. cit., n. 10 ad art. 199 CO ). Comme la clause doit exprimer clairement la volonté des parties, elle doit être interprétée restrictivement ( ATF 109 II 24 ibidem ; ATF 91 II 344 consid. 2a). b) En l'espèce, la cour cantonale n'a en aucun cas déterminé la volonté réelle des parties au sujet de la portée de la clause limitative BGE 126 III 59 S. 68 de responsabilité litigieuse; elle s'est manifestement efforcée d'interpréter les déclarations faites, telles qu'elles pouvaient et devaient être comprises de bonne foi par leur destinataire en fonction de l'ensemble des circonstances (application du principe de la confiance: ATF 123 III 16 consid. 4b, 165 consid. 3a). Une telle interprétation est une question de droit, que le Tribunal fédéral peut revoir librement dans le cadre d'un recours en réforme ( ATF 123 III 165 consid. 3a; ATF 122 III 106 consid. 5a, 420 consid. 3a). c) L'exclusion de garantie stipulée dans le contrat du 4 décembre 1990 a la teneur suivante: "Toute garantie antérieure est exclue". L'adjectif "antérieure" se rapporte manifestement à la phrase précédente de la convention, par laquelle la venderesse déclare confirmer que, pendant la période où elle a détenu le vase, celui-ci n'a été ni endommagé ni réparé. En d'autres termes, la défenderesse a exclu toute garantie pour un endommagement ou une réparation qui seraient survenus avant qu'elle ait eu la maîtrise effective de l'objet. Le sens de la déclaration de volonté de l'intimée ne pouvait, de bonne foi, qu'être compris de la sorte; il n'est en aucune façon infirmé par une constatation ou un élément ressortant du contexte de l'espèce ni par des circonstances permettant de dire qu'il ne correspondrait pas à la volonté commune des parties. Il résulte des faits retenus souverainement en instance cantonale que le vase n'a pas été endommagé ou réparé pendant les quelque neuf mois où il a été détenu par la défenderesse ou sa mandataire, la galerie Z. Mais, auparavant, à des dates indéterminées, l'objet a subi une détérioration en ce sens qu'une fissure est apparue au niveau du col et qu'un tiers a fait disparaître la lézarde en coupant le vase de 2,6 cm dans sa partie supérieure. Selon le sens ordinaire des mots, avant que le vase n'entrât dans le patrimoine de l'intimée, il a été endommagé puis réparé, même si cette dernière opération a fait perdre à l'oeuvre d'art la quasi-totalité de sa valeur marchande. Les parties devaient avoir envisagé ces circonstances lorsqu'elles sont convenues que la garantie de la venderesse ne s'appliquerait pas dans cette hypothèse. Cette façon de voir est corroborée par l'attitude de la demanderesse, laquelle est intervenue pour faire modifier le texte de la clause limitative de responsabilité. En donnant son assentiment à la clause telle qu'elle a été finalement stipulée dans le contrat de vente, la recourante, qui a refusé de s'entourer de l'avis d'un expert, s'est fiée à ses propres connaissances en matière d'Art nouveau. Partant, elle a pris le risque que le vase ait pu subir une réparation quand la défenderesse n'en était pas encore propriétaire. Il ne change rien à l'affaire que le contrat précisait que l'objet vendu se trouvait "dans un état exempt de défauts". Il s'agissait là uniquement de la manifestation d'une représentation que la venderesse se faisait de bonne foi du vase. Or, cette dernière était en droit d'exclure sa garantie pour le cas où cette représentation se révélerait ultérieurement inexacte (cf. PIERRE CAVIN, La vente - L'échange - La donation, in: Traité de droit privé suisse, Tome VII, 1, p. 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